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FangSong_GB2312" w:hAnsi="Calibri" w:eastAsia="FangSong_GB2312" w:cs="FangSong_GB2312"/>
          <w:sz w:val="32"/>
          <w:szCs w:val="32"/>
        </w:rPr>
      </w:pPr>
      <w:r>
        <w:rPr>
          <w:rFonts w:hint="eastAsia" w:ascii="FangSong_GB2312" w:hAnsi="Calibri" w:eastAsia="FangSong_GB2312" w:cs="FangSong_GB2312"/>
          <w:sz w:val="32"/>
          <w:szCs w:val="32"/>
        </w:rPr>
        <w:t>附件3</w:t>
      </w:r>
    </w:p>
    <w:p>
      <w:pPr>
        <w:spacing w:line="620" w:lineRule="exact"/>
        <w:jc w:val="center"/>
        <w:rPr>
          <w:rFonts w:ascii="方正小标宋简体" w:hAnsi="Calibri" w:eastAsia="方正小标宋简体" w:cs="方正小标宋简体"/>
          <w:sz w:val="44"/>
          <w:szCs w:val="44"/>
        </w:rPr>
      </w:pPr>
      <w:r>
        <w:rPr>
          <w:rFonts w:hint="eastAsia" w:ascii="方正小标宋简体" w:hAnsi="Calibri" w:eastAsia="方正小标宋简体" w:cs="方正小标宋简体"/>
          <w:sz w:val="44"/>
          <w:szCs w:val="44"/>
        </w:rPr>
        <w:t>职业技能等级认定备案机构评估细则（试行）</w:t>
      </w:r>
    </w:p>
    <w:p>
      <w:pPr>
        <w:spacing w:line="620" w:lineRule="exact"/>
        <w:jc w:val="center"/>
        <w:rPr>
          <w:rFonts w:ascii="方正小标宋简体" w:hAnsi="Calibri" w:eastAsia="方正小标宋简体" w:cs="方正小标宋简体"/>
          <w:sz w:val="44"/>
          <w:szCs w:val="44"/>
        </w:rPr>
      </w:pPr>
      <w:r>
        <w:rPr>
          <w:rFonts w:hint="eastAsia" w:ascii="方正小标宋简体" w:hAnsi="Calibri" w:eastAsia="方正小标宋简体" w:cs="方正小标宋简体"/>
          <w:sz w:val="44"/>
          <w:szCs w:val="44"/>
        </w:rPr>
        <w:t>（企业版）</w:t>
      </w:r>
    </w:p>
    <w:tbl>
      <w:tblPr>
        <w:tblStyle w:val="2"/>
        <w:tblW w:w="8804"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5" w:type="dxa"/>
          <w:left w:w="15" w:type="dxa"/>
          <w:bottom w:w="15" w:type="dxa"/>
          <w:right w:w="15" w:type="dxa"/>
        </w:tblCellMar>
      </w:tblPr>
      <w:tblGrid>
        <w:gridCol w:w="1395"/>
        <w:gridCol w:w="1739"/>
        <w:gridCol w:w="2268"/>
        <w:gridCol w:w="2835"/>
        <w:gridCol w:w="56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6" w:hRule="atLeast"/>
          <w:jc w:val="center"/>
        </w:trPr>
        <w:tc>
          <w:tcPr>
            <w:tcW w:w="5402" w:type="dxa"/>
            <w:gridSpan w:val="3"/>
            <w:tcBorders>
              <w:tl2br w:val="nil"/>
              <w:tr2bl w:val="nil"/>
            </w:tcBorders>
            <w:vAlign w:val="center"/>
          </w:tcPr>
          <w:p>
            <w:pPr>
              <w:widowControl/>
              <w:jc w:val="center"/>
              <w:textAlignment w:val="center"/>
              <w:rPr>
                <w:rFonts w:ascii="FangSong_GB2312" w:hAnsi="Calibri" w:eastAsia="FangSong_GB2312" w:cs="FangSong_GB2312"/>
                <w:b/>
                <w:color w:val="000000"/>
                <w:szCs w:val="21"/>
              </w:rPr>
            </w:pPr>
            <w:r>
              <w:rPr>
                <w:rFonts w:hint="eastAsia" w:ascii="FangSong_GB2312" w:hAnsi="Calibri" w:eastAsia="FangSong_GB2312" w:cs="FangSong_GB2312"/>
                <w:b/>
                <w:color w:val="000000"/>
                <w:kern w:val="0"/>
                <w:szCs w:val="21"/>
              </w:rPr>
              <w:t>评  估  内  容</w:t>
            </w:r>
          </w:p>
        </w:tc>
        <w:tc>
          <w:tcPr>
            <w:tcW w:w="2835" w:type="dxa"/>
            <w:vMerge w:val="restart"/>
            <w:tcBorders>
              <w:tl2br w:val="nil"/>
              <w:tr2bl w:val="nil"/>
            </w:tcBorders>
            <w:vAlign w:val="center"/>
          </w:tcPr>
          <w:p>
            <w:pPr>
              <w:widowControl/>
              <w:jc w:val="center"/>
              <w:textAlignment w:val="center"/>
              <w:rPr>
                <w:rFonts w:ascii="FangSong_GB2312" w:hAnsi="Calibri" w:eastAsia="FangSong_GB2312" w:cs="FangSong_GB2312"/>
                <w:b/>
                <w:color w:val="000000"/>
                <w:szCs w:val="21"/>
              </w:rPr>
            </w:pPr>
            <w:r>
              <w:rPr>
                <w:rFonts w:hint="eastAsia" w:ascii="FangSong_GB2312" w:hAnsi="Calibri" w:eastAsia="FangSong_GB2312" w:cs="FangSong_GB2312"/>
                <w:b/>
                <w:color w:val="000000"/>
                <w:kern w:val="0"/>
                <w:szCs w:val="21"/>
              </w:rPr>
              <w:t>评估方法和标准</w:t>
            </w:r>
          </w:p>
        </w:tc>
        <w:tc>
          <w:tcPr>
            <w:tcW w:w="567" w:type="dxa"/>
            <w:vMerge w:val="restart"/>
            <w:tcBorders>
              <w:tl2br w:val="nil"/>
              <w:tr2bl w:val="nil"/>
            </w:tcBorders>
            <w:vAlign w:val="center"/>
          </w:tcPr>
          <w:p>
            <w:pPr>
              <w:rPr>
                <w:rFonts w:ascii="Calibri" w:hAnsi="Calibri" w:eastAsia="宋体" w:cs="Times New Roman"/>
                <w:szCs w:val="22"/>
              </w:rPr>
            </w:pPr>
          </w:p>
          <w:p>
            <w:pPr>
              <w:widowControl/>
              <w:jc w:val="center"/>
              <w:textAlignment w:val="center"/>
              <w:rPr>
                <w:rFonts w:ascii="FangSong_GB2312" w:hAnsi="Calibri" w:eastAsia="FangSong_GB2312" w:cs="FangSong_GB2312"/>
                <w:b/>
                <w:color w:val="000000"/>
                <w:szCs w:val="21"/>
              </w:rPr>
            </w:pPr>
            <w:r>
              <w:rPr>
                <w:rFonts w:hint="eastAsia" w:ascii="FangSong_GB2312" w:hAnsi="Calibri" w:eastAsia="FangSong_GB2312" w:cs="FangSong_GB2312"/>
                <w:b/>
                <w:color w:val="000000"/>
                <w:kern w:val="0"/>
                <w:szCs w:val="21"/>
              </w:rPr>
              <w:t>得分情况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6" w:hRule="atLeast"/>
          <w:jc w:val="center"/>
        </w:trPr>
        <w:tc>
          <w:tcPr>
            <w:tcW w:w="1395" w:type="dxa"/>
            <w:tcBorders>
              <w:tl2br w:val="nil"/>
              <w:tr2bl w:val="nil"/>
            </w:tcBorders>
            <w:vAlign w:val="center"/>
          </w:tcPr>
          <w:p>
            <w:pPr>
              <w:widowControl/>
              <w:jc w:val="center"/>
              <w:textAlignment w:val="center"/>
              <w:rPr>
                <w:rFonts w:ascii="FangSong_GB2312" w:hAnsi="Calibri" w:eastAsia="FangSong_GB2312" w:cs="FangSong_GB2312"/>
                <w:b/>
                <w:color w:val="000000"/>
                <w:szCs w:val="21"/>
              </w:rPr>
            </w:pPr>
            <w:r>
              <w:rPr>
                <w:rFonts w:hint="eastAsia" w:ascii="FangSong_GB2312" w:hAnsi="Calibri" w:eastAsia="FangSong_GB2312" w:cs="FangSong_GB2312"/>
                <w:b/>
                <w:color w:val="000000"/>
                <w:kern w:val="0"/>
                <w:szCs w:val="21"/>
              </w:rPr>
              <w:t>大项</w:t>
            </w:r>
          </w:p>
        </w:tc>
        <w:tc>
          <w:tcPr>
            <w:tcW w:w="1739" w:type="dxa"/>
            <w:tcBorders>
              <w:tl2br w:val="nil"/>
              <w:tr2bl w:val="nil"/>
            </w:tcBorders>
            <w:vAlign w:val="center"/>
          </w:tcPr>
          <w:p>
            <w:pPr>
              <w:widowControl/>
              <w:jc w:val="center"/>
              <w:textAlignment w:val="center"/>
              <w:rPr>
                <w:rFonts w:ascii="FangSong_GB2312" w:hAnsi="Calibri" w:eastAsia="FangSong_GB2312" w:cs="FangSong_GB2312"/>
                <w:b/>
                <w:color w:val="000000"/>
                <w:szCs w:val="21"/>
              </w:rPr>
            </w:pPr>
            <w:r>
              <w:rPr>
                <w:rFonts w:hint="eastAsia" w:ascii="FangSong_GB2312" w:hAnsi="Calibri" w:eastAsia="FangSong_GB2312" w:cs="FangSong_GB2312"/>
                <w:b/>
                <w:color w:val="000000"/>
                <w:kern w:val="0"/>
                <w:szCs w:val="21"/>
              </w:rPr>
              <w:t>中项</w:t>
            </w:r>
          </w:p>
        </w:tc>
        <w:tc>
          <w:tcPr>
            <w:tcW w:w="2268" w:type="dxa"/>
            <w:tcBorders>
              <w:tl2br w:val="nil"/>
              <w:tr2bl w:val="nil"/>
            </w:tcBorders>
            <w:vAlign w:val="center"/>
          </w:tcPr>
          <w:p>
            <w:pPr>
              <w:widowControl/>
              <w:jc w:val="center"/>
              <w:textAlignment w:val="center"/>
              <w:rPr>
                <w:rFonts w:ascii="FangSong_GB2312" w:hAnsi="Calibri" w:eastAsia="FangSong_GB2312" w:cs="FangSong_GB2312"/>
                <w:b/>
                <w:color w:val="000000"/>
                <w:szCs w:val="21"/>
              </w:rPr>
            </w:pPr>
            <w:r>
              <w:rPr>
                <w:rFonts w:hint="eastAsia" w:ascii="FangSong_GB2312" w:hAnsi="Calibri" w:eastAsia="FangSong_GB2312" w:cs="FangSong_GB2312"/>
                <w:b/>
                <w:color w:val="000000"/>
                <w:kern w:val="0"/>
                <w:szCs w:val="21"/>
              </w:rPr>
              <w:t>小  项</w:t>
            </w:r>
          </w:p>
        </w:tc>
        <w:tc>
          <w:tcPr>
            <w:tcW w:w="2835" w:type="dxa"/>
            <w:vMerge w:val="continue"/>
            <w:tcBorders>
              <w:tl2br w:val="nil"/>
              <w:tr2bl w:val="nil"/>
            </w:tcBorders>
            <w:vAlign w:val="center"/>
          </w:tcPr>
          <w:p>
            <w:pPr>
              <w:rPr>
                <w:rFonts w:ascii="Calibri" w:hAnsi="Calibri" w:eastAsia="宋体" w:cs="Times New Roman"/>
                <w:szCs w:val="22"/>
              </w:rPr>
            </w:pPr>
          </w:p>
        </w:tc>
        <w:tc>
          <w:tcPr>
            <w:tcW w:w="567" w:type="dxa"/>
            <w:vMerge w:val="continue"/>
            <w:tcBorders>
              <w:tl2br w:val="nil"/>
              <w:tr2bl w:val="nil"/>
            </w:tcBorders>
            <w:vAlign w:val="center"/>
          </w:tcPr>
          <w:p>
            <w:pPr>
              <w:rPr>
                <w:rFonts w:ascii="Calibri" w:hAnsi="Calibri" w:eastAsia="宋体" w:cs="Times New Roman"/>
                <w:szCs w:val="22"/>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1666" w:hRule="atLeast"/>
          <w:jc w:val="center"/>
        </w:trPr>
        <w:tc>
          <w:tcPr>
            <w:tcW w:w="1395" w:type="dxa"/>
            <w:vMerge w:val="restart"/>
            <w:tcBorders>
              <w:tl2br w:val="nil"/>
              <w:tr2bl w:val="nil"/>
            </w:tcBorders>
            <w:vAlign w:val="center"/>
          </w:tcPr>
          <w:p>
            <w:pPr>
              <w:widowControl/>
              <w:jc w:val="center"/>
              <w:textAlignment w:val="center"/>
              <w:rPr>
                <w:rFonts w:ascii="FangSong_GB2312" w:hAnsi="Calibri" w:eastAsia="FangSong_GB2312" w:cs="FangSong_GB2312"/>
                <w:color w:val="000000"/>
                <w:kern w:val="0"/>
                <w:szCs w:val="21"/>
              </w:rPr>
            </w:pPr>
            <w:r>
              <w:rPr>
                <w:rFonts w:hint="eastAsia" w:ascii="FangSong_GB2312" w:hAnsi="Calibri" w:eastAsia="FangSong_GB2312" w:cs="FangSong_GB2312"/>
                <w:color w:val="000000"/>
                <w:kern w:val="0"/>
                <w:szCs w:val="21"/>
              </w:rPr>
              <w:t>机构及岗位设置情况</w:t>
            </w:r>
          </w:p>
          <w:p>
            <w:pPr>
              <w:widowControl/>
              <w:jc w:val="center"/>
              <w:textAlignment w:val="center"/>
              <w:rPr>
                <w:rFonts w:ascii="FangSong_GB2312" w:hAnsi="Calibri" w:eastAsia="FangSong_GB2312" w:cs="FangSong_GB2312"/>
                <w:color w:val="000000"/>
                <w:kern w:val="0"/>
                <w:szCs w:val="21"/>
              </w:rPr>
            </w:pPr>
            <w:r>
              <w:rPr>
                <w:rFonts w:hint="eastAsia" w:ascii="FangSong_GB2312" w:hAnsi="Calibri" w:eastAsia="FangSong_GB2312" w:cs="FangSong_GB2312"/>
                <w:color w:val="000000"/>
                <w:kern w:val="0"/>
                <w:szCs w:val="21"/>
              </w:rPr>
              <w:t>30分</w:t>
            </w:r>
          </w:p>
        </w:tc>
        <w:tc>
          <w:tcPr>
            <w:tcW w:w="1739"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职业技能等级认定组织机构</w:t>
            </w:r>
          </w:p>
        </w:tc>
        <w:tc>
          <w:tcPr>
            <w:tcW w:w="2268"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部门设置和管理职能明确，管理人员岗位职责明确</w:t>
            </w:r>
          </w:p>
        </w:tc>
        <w:tc>
          <w:tcPr>
            <w:tcW w:w="2835"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查阅文件或任命书(或聘书)，现场提问其岗位工作职责。 发现问题不得分。</w:t>
            </w:r>
          </w:p>
        </w:tc>
        <w:tc>
          <w:tcPr>
            <w:tcW w:w="567" w:type="dxa"/>
            <w:tcBorders>
              <w:tl2br w:val="nil"/>
              <w:tr2bl w:val="nil"/>
            </w:tcBorders>
            <w:vAlign w:val="center"/>
          </w:tcPr>
          <w:p>
            <w:pPr>
              <w:jc w:val="center"/>
              <w:rPr>
                <w:rFonts w:ascii="FangSong_GB2312" w:hAnsi="Calibri" w:eastAsia="FangSong_GB2312" w:cs="FangSong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1140" w:hRule="atLeast"/>
          <w:jc w:val="center"/>
        </w:trPr>
        <w:tc>
          <w:tcPr>
            <w:tcW w:w="1395" w:type="dxa"/>
            <w:vMerge w:val="continue"/>
            <w:tcBorders>
              <w:tl2br w:val="nil"/>
              <w:tr2bl w:val="nil"/>
            </w:tcBorders>
            <w:vAlign w:val="center"/>
          </w:tcPr>
          <w:p>
            <w:pPr>
              <w:rPr>
                <w:rFonts w:ascii="Calibri" w:hAnsi="Calibri" w:eastAsia="宋体" w:cs="Times New Roman"/>
                <w:szCs w:val="22"/>
              </w:rPr>
            </w:pPr>
          </w:p>
        </w:tc>
        <w:tc>
          <w:tcPr>
            <w:tcW w:w="1739"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职工培训评价管理部门及管理人员</w:t>
            </w:r>
          </w:p>
        </w:tc>
        <w:tc>
          <w:tcPr>
            <w:tcW w:w="2268"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部门设置和管理职能明确，管理人员岗位职责明确</w:t>
            </w:r>
          </w:p>
        </w:tc>
        <w:tc>
          <w:tcPr>
            <w:tcW w:w="2835"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查阅单位文件或任命书(或聘书),以及相关规定，现场提问其岗位工作职责。 发现问题不得分。</w:t>
            </w:r>
          </w:p>
        </w:tc>
        <w:tc>
          <w:tcPr>
            <w:tcW w:w="567" w:type="dxa"/>
            <w:tcBorders>
              <w:tl2br w:val="nil"/>
              <w:tr2bl w:val="nil"/>
            </w:tcBorders>
            <w:vAlign w:val="center"/>
          </w:tcPr>
          <w:p>
            <w:pPr>
              <w:jc w:val="center"/>
              <w:rPr>
                <w:rFonts w:ascii="FangSong_GB2312" w:hAnsi="Calibri" w:eastAsia="FangSong_GB2312" w:cs="FangSong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915" w:hRule="atLeast"/>
          <w:jc w:val="center"/>
        </w:trPr>
        <w:tc>
          <w:tcPr>
            <w:tcW w:w="1395" w:type="dxa"/>
            <w:vMerge w:val="continue"/>
            <w:tcBorders>
              <w:tl2br w:val="nil"/>
              <w:tr2bl w:val="nil"/>
            </w:tcBorders>
            <w:vAlign w:val="center"/>
          </w:tcPr>
          <w:p>
            <w:pPr>
              <w:rPr>
                <w:rFonts w:ascii="Calibri" w:hAnsi="Calibri" w:eastAsia="宋体" w:cs="Times New Roman"/>
                <w:szCs w:val="22"/>
              </w:rPr>
            </w:pPr>
          </w:p>
        </w:tc>
        <w:tc>
          <w:tcPr>
            <w:tcW w:w="1739"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考务管理人员、考评人员、督导人员等专家</w:t>
            </w:r>
          </w:p>
        </w:tc>
        <w:tc>
          <w:tcPr>
            <w:tcW w:w="2268"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有一定数量的专职人员及专家队伍</w:t>
            </w:r>
          </w:p>
        </w:tc>
        <w:tc>
          <w:tcPr>
            <w:tcW w:w="2835"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查阅单位文件或任命书(或聘书)，以及相关规定,现场提问其岗位工作职责发现问题不得分。</w:t>
            </w:r>
          </w:p>
        </w:tc>
        <w:tc>
          <w:tcPr>
            <w:tcW w:w="567" w:type="dxa"/>
            <w:tcBorders>
              <w:tl2br w:val="nil"/>
              <w:tr2bl w:val="nil"/>
            </w:tcBorders>
            <w:vAlign w:val="center"/>
          </w:tcPr>
          <w:p>
            <w:pPr>
              <w:jc w:val="center"/>
              <w:rPr>
                <w:rFonts w:ascii="FangSong_GB2312" w:hAnsi="Calibri" w:eastAsia="FangSong_GB2312" w:cs="FangSong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1050" w:hRule="atLeast"/>
          <w:jc w:val="center"/>
        </w:trPr>
        <w:tc>
          <w:tcPr>
            <w:tcW w:w="1395" w:type="dxa"/>
            <w:vMerge w:val="restart"/>
            <w:tcBorders>
              <w:tl2br w:val="nil"/>
              <w:tr2bl w:val="nil"/>
            </w:tcBorders>
            <w:vAlign w:val="center"/>
          </w:tcPr>
          <w:p>
            <w:pPr>
              <w:widowControl/>
              <w:jc w:val="center"/>
              <w:textAlignment w:val="center"/>
              <w:rPr>
                <w:rFonts w:ascii="FangSong_GB2312" w:hAnsi="Calibri" w:eastAsia="FangSong_GB2312" w:cs="FangSong_GB2312"/>
                <w:color w:val="000000"/>
                <w:kern w:val="0"/>
                <w:szCs w:val="21"/>
              </w:rPr>
            </w:pPr>
            <w:r>
              <w:rPr>
                <w:rFonts w:hint="eastAsia" w:ascii="FangSong_GB2312" w:hAnsi="Calibri" w:eastAsia="FangSong_GB2312" w:cs="FangSong_GB2312"/>
                <w:color w:val="000000"/>
                <w:kern w:val="0"/>
                <w:szCs w:val="21"/>
              </w:rPr>
              <w:t>规章制度情况</w:t>
            </w:r>
          </w:p>
          <w:p>
            <w:pPr>
              <w:widowControl/>
              <w:jc w:val="center"/>
              <w:textAlignment w:val="center"/>
              <w:rPr>
                <w:rFonts w:ascii="FangSong_GB2312" w:hAnsi="Calibri" w:eastAsia="FangSong_GB2312" w:cs="FangSong_GB2312"/>
                <w:color w:val="000000"/>
                <w:kern w:val="0"/>
                <w:szCs w:val="21"/>
              </w:rPr>
            </w:pPr>
            <w:r>
              <w:rPr>
                <w:rFonts w:hint="eastAsia" w:ascii="FangSong_GB2312" w:hAnsi="Calibri" w:eastAsia="FangSong_GB2312" w:cs="FangSong_GB2312"/>
                <w:color w:val="000000"/>
                <w:kern w:val="0"/>
                <w:szCs w:val="21"/>
              </w:rPr>
              <w:t>20分</w:t>
            </w:r>
          </w:p>
        </w:tc>
        <w:tc>
          <w:tcPr>
            <w:tcW w:w="1739" w:type="dxa"/>
            <w:vMerge w:val="restart"/>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工作场所相关制度\办法的情况</w:t>
            </w:r>
          </w:p>
        </w:tc>
        <w:tc>
          <w:tcPr>
            <w:tcW w:w="2268" w:type="dxa"/>
            <w:vMerge w:val="restart"/>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技能等级与薪酬待遇挂钩制度</w:t>
            </w:r>
          </w:p>
        </w:tc>
        <w:tc>
          <w:tcPr>
            <w:tcW w:w="2835" w:type="dxa"/>
            <w:vMerge w:val="restart"/>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查阅文件（技能人才比照单位专业技术人员同等待遇）</w:t>
            </w:r>
          </w:p>
        </w:tc>
        <w:tc>
          <w:tcPr>
            <w:tcW w:w="567" w:type="dxa"/>
            <w:vMerge w:val="restart"/>
            <w:tcBorders>
              <w:tl2br w:val="nil"/>
              <w:tr2bl w:val="nil"/>
            </w:tcBorders>
            <w:vAlign w:val="center"/>
          </w:tcPr>
          <w:p>
            <w:pPr>
              <w:jc w:val="center"/>
              <w:rPr>
                <w:rFonts w:ascii="FangSong_GB2312" w:hAnsi="Calibri" w:eastAsia="FangSong_GB2312" w:cs="FangSong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1395" w:type="dxa"/>
            <w:vMerge w:val="continue"/>
            <w:tcBorders>
              <w:tl2br w:val="nil"/>
              <w:tr2bl w:val="nil"/>
            </w:tcBorders>
            <w:vAlign w:val="center"/>
          </w:tcPr>
          <w:p>
            <w:pPr>
              <w:rPr>
                <w:rFonts w:ascii="Calibri" w:hAnsi="Calibri" w:eastAsia="宋体" w:cs="Times New Roman"/>
                <w:szCs w:val="22"/>
              </w:rPr>
            </w:pPr>
          </w:p>
        </w:tc>
        <w:tc>
          <w:tcPr>
            <w:tcW w:w="1739" w:type="dxa"/>
            <w:vMerge w:val="continue"/>
            <w:tcBorders>
              <w:tl2br w:val="nil"/>
              <w:tr2bl w:val="nil"/>
            </w:tcBorders>
            <w:vAlign w:val="center"/>
          </w:tcPr>
          <w:p>
            <w:pPr>
              <w:rPr>
                <w:rFonts w:ascii="Calibri" w:hAnsi="Calibri" w:eastAsia="宋体" w:cs="Times New Roman"/>
                <w:szCs w:val="22"/>
              </w:rPr>
            </w:pPr>
          </w:p>
        </w:tc>
        <w:tc>
          <w:tcPr>
            <w:tcW w:w="2268" w:type="dxa"/>
            <w:vMerge w:val="continue"/>
            <w:tcBorders>
              <w:tl2br w:val="nil"/>
              <w:tr2bl w:val="nil"/>
            </w:tcBorders>
            <w:vAlign w:val="center"/>
          </w:tcPr>
          <w:p>
            <w:pPr>
              <w:rPr>
                <w:rFonts w:ascii="Calibri" w:hAnsi="Calibri" w:eastAsia="宋体" w:cs="Times New Roman"/>
                <w:szCs w:val="22"/>
              </w:rPr>
            </w:pPr>
          </w:p>
        </w:tc>
        <w:tc>
          <w:tcPr>
            <w:tcW w:w="2835" w:type="dxa"/>
            <w:vMerge w:val="continue"/>
            <w:tcBorders>
              <w:tl2br w:val="nil"/>
              <w:tr2bl w:val="nil"/>
            </w:tcBorders>
            <w:vAlign w:val="center"/>
          </w:tcPr>
          <w:p>
            <w:pPr>
              <w:rPr>
                <w:rFonts w:ascii="Calibri" w:hAnsi="Calibri" w:eastAsia="宋体" w:cs="Times New Roman"/>
                <w:szCs w:val="22"/>
              </w:rPr>
            </w:pPr>
          </w:p>
        </w:tc>
        <w:tc>
          <w:tcPr>
            <w:tcW w:w="567" w:type="dxa"/>
            <w:vMerge w:val="continue"/>
            <w:tcBorders>
              <w:tl2br w:val="nil"/>
              <w:tr2bl w:val="nil"/>
            </w:tcBorders>
            <w:vAlign w:val="center"/>
          </w:tcPr>
          <w:p>
            <w:pPr>
              <w:rPr>
                <w:rFonts w:ascii="Calibri" w:hAnsi="Calibri" w:eastAsia="宋体" w:cs="Times New Roman"/>
                <w:szCs w:val="22"/>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312" w:hRule="atLeast"/>
          <w:jc w:val="center"/>
        </w:trPr>
        <w:tc>
          <w:tcPr>
            <w:tcW w:w="1395" w:type="dxa"/>
            <w:vMerge w:val="continue"/>
            <w:tcBorders>
              <w:tl2br w:val="nil"/>
              <w:tr2bl w:val="nil"/>
            </w:tcBorders>
            <w:vAlign w:val="center"/>
          </w:tcPr>
          <w:p>
            <w:pPr>
              <w:rPr>
                <w:rFonts w:ascii="Calibri" w:hAnsi="Calibri" w:eastAsia="宋体" w:cs="Times New Roman"/>
                <w:szCs w:val="22"/>
              </w:rPr>
            </w:pPr>
          </w:p>
        </w:tc>
        <w:tc>
          <w:tcPr>
            <w:tcW w:w="1739" w:type="dxa"/>
            <w:vMerge w:val="continue"/>
            <w:tcBorders>
              <w:tl2br w:val="nil"/>
              <w:tr2bl w:val="nil"/>
            </w:tcBorders>
            <w:vAlign w:val="center"/>
          </w:tcPr>
          <w:p>
            <w:pPr>
              <w:rPr>
                <w:rFonts w:ascii="Calibri" w:hAnsi="Calibri" w:eastAsia="宋体" w:cs="Times New Roman"/>
                <w:szCs w:val="22"/>
              </w:rPr>
            </w:pPr>
          </w:p>
        </w:tc>
        <w:tc>
          <w:tcPr>
            <w:tcW w:w="2268" w:type="dxa"/>
            <w:vMerge w:val="continue"/>
            <w:tcBorders>
              <w:tl2br w:val="nil"/>
              <w:tr2bl w:val="nil"/>
            </w:tcBorders>
            <w:vAlign w:val="center"/>
          </w:tcPr>
          <w:p>
            <w:pPr>
              <w:rPr>
                <w:rFonts w:ascii="Calibri" w:hAnsi="Calibri" w:eastAsia="宋体" w:cs="Times New Roman"/>
                <w:szCs w:val="22"/>
              </w:rPr>
            </w:pPr>
          </w:p>
        </w:tc>
        <w:tc>
          <w:tcPr>
            <w:tcW w:w="2835" w:type="dxa"/>
            <w:vMerge w:val="continue"/>
            <w:tcBorders>
              <w:tl2br w:val="nil"/>
              <w:tr2bl w:val="nil"/>
            </w:tcBorders>
            <w:vAlign w:val="center"/>
          </w:tcPr>
          <w:p>
            <w:pPr>
              <w:rPr>
                <w:rFonts w:ascii="Calibri" w:hAnsi="Calibri" w:eastAsia="宋体" w:cs="Times New Roman"/>
                <w:szCs w:val="22"/>
              </w:rPr>
            </w:pPr>
          </w:p>
        </w:tc>
        <w:tc>
          <w:tcPr>
            <w:tcW w:w="567" w:type="dxa"/>
            <w:vMerge w:val="continue"/>
            <w:tcBorders>
              <w:tl2br w:val="nil"/>
              <w:tr2bl w:val="nil"/>
            </w:tcBorders>
            <w:vAlign w:val="center"/>
          </w:tcPr>
          <w:p>
            <w:pPr>
              <w:rPr>
                <w:rFonts w:ascii="Calibri" w:hAnsi="Calibri" w:eastAsia="宋体" w:cs="Times New Roman"/>
                <w:szCs w:val="22"/>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6" w:hRule="atLeast"/>
          <w:jc w:val="center"/>
        </w:trPr>
        <w:tc>
          <w:tcPr>
            <w:tcW w:w="1395" w:type="dxa"/>
            <w:vMerge w:val="continue"/>
            <w:tcBorders>
              <w:tl2br w:val="nil"/>
              <w:tr2bl w:val="nil"/>
            </w:tcBorders>
            <w:vAlign w:val="center"/>
          </w:tcPr>
          <w:p>
            <w:pPr>
              <w:rPr>
                <w:rFonts w:ascii="Calibri" w:hAnsi="Calibri" w:eastAsia="宋体" w:cs="Times New Roman"/>
                <w:szCs w:val="22"/>
              </w:rPr>
            </w:pPr>
          </w:p>
        </w:tc>
        <w:tc>
          <w:tcPr>
            <w:tcW w:w="1739" w:type="dxa"/>
            <w:vMerge w:val="continue"/>
            <w:tcBorders>
              <w:tl2br w:val="nil"/>
              <w:tr2bl w:val="nil"/>
            </w:tcBorders>
            <w:vAlign w:val="center"/>
          </w:tcPr>
          <w:p>
            <w:pPr>
              <w:rPr>
                <w:rFonts w:ascii="Calibri" w:hAnsi="Calibri" w:eastAsia="宋体" w:cs="Times New Roman"/>
                <w:szCs w:val="22"/>
              </w:rPr>
            </w:pPr>
          </w:p>
        </w:tc>
        <w:tc>
          <w:tcPr>
            <w:tcW w:w="2268"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职业技能等级认定管理制度</w:t>
            </w:r>
          </w:p>
        </w:tc>
        <w:tc>
          <w:tcPr>
            <w:tcW w:w="2835"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查阅文件</w:t>
            </w:r>
          </w:p>
        </w:tc>
        <w:tc>
          <w:tcPr>
            <w:tcW w:w="567" w:type="dxa"/>
            <w:tcBorders>
              <w:tl2br w:val="nil"/>
              <w:tr2bl w:val="nil"/>
            </w:tcBorders>
            <w:vAlign w:val="center"/>
          </w:tcPr>
          <w:p>
            <w:pPr>
              <w:jc w:val="center"/>
              <w:rPr>
                <w:rFonts w:ascii="FangSong_GB2312" w:hAnsi="Calibri" w:eastAsia="FangSong_GB2312" w:cs="FangSong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1395" w:type="dxa"/>
            <w:vMerge w:val="continue"/>
            <w:tcBorders>
              <w:tl2br w:val="nil"/>
              <w:tr2bl w:val="nil"/>
            </w:tcBorders>
            <w:vAlign w:val="center"/>
          </w:tcPr>
          <w:p>
            <w:pPr>
              <w:rPr>
                <w:rFonts w:ascii="Calibri" w:hAnsi="Calibri" w:eastAsia="宋体" w:cs="Times New Roman"/>
                <w:szCs w:val="22"/>
              </w:rPr>
            </w:pPr>
          </w:p>
        </w:tc>
        <w:tc>
          <w:tcPr>
            <w:tcW w:w="1739" w:type="dxa"/>
            <w:vMerge w:val="continue"/>
            <w:tcBorders>
              <w:tl2br w:val="nil"/>
              <w:tr2bl w:val="nil"/>
            </w:tcBorders>
            <w:vAlign w:val="center"/>
          </w:tcPr>
          <w:p>
            <w:pPr>
              <w:rPr>
                <w:rFonts w:ascii="Calibri" w:hAnsi="Calibri" w:eastAsia="宋体" w:cs="Times New Roman"/>
                <w:szCs w:val="22"/>
              </w:rPr>
            </w:pPr>
          </w:p>
        </w:tc>
        <w:tc>
          <w:tcPr>
            <w:tcW w:w="2268"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职业技能等级认定档案资料保管制度</w:t>
            </w:r>
          </w:p>
        </w:tc>
        <w:tc>
          <w:tcPr>
            <w:tcW w:w="2835"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查阅文件</w:t>
            </w:r>
          </w:p>
        </w:tc>
        <w:tc>
          <w:tcPr>
            <w:tcW w:w="567" w:type="dxa"/>
            <w:tcBorders>
              <w:tl2br w:val="nil"/>
              <w:tr2bl w:val="nil"/>
            </w:tcBorders>
            <w:vAlign w:val="center"/>
          </w:tcPr>
          <w:p>
            <w:pPr>
              <w:jc w:val="center"/>
              <w:rPr>
                <w:rFonts w:ascii="FangSong_GB2312" w:hAnsi="Calibri" w:eastAsia="FangSong_GB2312" w:cs="FangSong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1395" w:type="dxa"/>
            <w:vMerge w:val="continue"/>
            <w:tcBorders>
              <w:tl2br w:val="nil"/>
              <w:tr2bl w:val="nil"/>
            </w:tcBorders>
            <w:vAlign w:val="center"/>
          </w:tcPr>
          <w:p>
            <w:pPr>
              <w:rPr>
                <w:rFonts w:ascii="Calibri" w:hAnsi="Calibri" w:eastAsia="宋体" w:cs="Times New Roman"/>
                <w:szCs w:val="22"/>
              </w:rPr>
            </w:pPr>
          </w:p>
        </w:tc>
        <w:tc>
          <w:tcPr>
            <w:tcW w:w="1739" w:type="dxa"/>
            <w:vMerge w:val="continue"/>
            <w:tcBorders>
              <w:tl2br w:val="nil"/>
              <w:tr2bl w:val="nil"/>
            </w:tcBorders>
            <w:vAlign w:val="center"/>
          </w:tcPr>
          <w:p>
            <w:pPr>
              <w:rPr>
                <w:rFonts w:ascii="Calibri" w:hAnsi="Calibri" w:eastAsia="宋体" w:cs="Times New Roman"/>
                <w:szCs w:val="22"/>
              </w:rPr>
            </w:pPr>
          </w:p>
        </w:tc>
        <w:tc>
          <w:tcPr>
            <w:tcW w:w="2268"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职业技能等级认定试卷\试题保密规定</w:t>
            </w:r>
          </w:p>
        </w:tc>
        <w:tc>
          <w:tcPr>
            <w:tcW w:w="2835"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查阅文件</w:t>
            </w:r>
          </w:p>
        </w:tc>
        <w:tc>
          <w:tcPr>
            <w:tcW w:w="567" w:type="dxa"/>
            <w:tcBorders>
              <w:tl2br w:val="nil"/>
              <w:tr2bl w:val="nil"/>
            </w:tcBorders>
            <w:vAlign w:val="center"/>
          </w:tcPr>
          <w:p>
            <w:pPr>
              <w:jc w:val="center"/>
              <w:rPr>
                <w:rFonts w:ascii="FangSong_GB2312" w:hAnsi="Calibri" w:eastAsia="FangSong_GB2312" w:cs="FangSong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1395" w:type="dxa"/>
            <w:vMerge w:val="continue"/>
            <w:tcBorders>
              <w:tl2br w:val="nil"/>
              <w:tr2bl w:val="nil"/>
            </w:tcBorders>
            <w:vAlign w:val="center"/>
          </w:tcPr>
          <w:p>
            <w:pPr>
              <w:rPr>
                <w:rFonts w:ascii="Calibri" w:hAnsi="Calibri" w:eastAsia="宋体" w:cs="Times New Roman"/>
                <w:szCs w:val="22"/>
              </w:rPr>
            </w:pPr>
          </w:p>
        </w:tc>
        <w:tc>
          <w:tcPr>
            <w:tcW w:w="1739" w:type="dxa"/>
            <w:vMerge w:val="continue"/>
            <w:tcBorders>
              <w:tl2br w:val="nil"/>
              <w:tr2bl w:val="nil"/>
            </w:tcBorders>
            <w:vAlign w:val="center"/>
          </w:tcPr>
          <w:p>
            <w:pPr>
              <w:rPr>
                <w:rFonts w:ascii="Calibri" w:hAnsi="Calibri" w:eastAsia="宋体" w:cs="Times New Roman"/>
                <w:szCs w:val="22"/>
              </w:rPr>
            </w:pPr>
          </w:p>
        </w:tc>
        <w:tc>
          <w:tcPr>
            <w:tcW w:w="2268"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职业技能等级认定质量控制有关规定</w:t>
            </w:r>
          </w:p>
        </w:tc>
        <w:tc>
          <w:tcPr>
            <w:tcW w:w="2835"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查阅文件</w:t>
            </w:r>
          </w:p>
        </w:tc>
        <w:tc>
          <w:tcPr>
            <w:tcW w:w="567" w:type="dxa"/>
            <w:tcBorders>
              <w:tl2br w:val="nil"/>
              <w:tr2bl w:val="nil"/>
            </w:tcBorders>
            <w:vAlign w:val="center"/>
          </w:tcPr>
          <w:p>
            <w:pPr>
              <w:jc w:val="center"/>
              <w:rPr>
                <w:rFonts w:ascii="FangSong_GB2312" w:hAnsi="Calibri" w:eastAsia="FangSong_GB2312" w:cs="FangSong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1395" w:type="dxa"/>
            <w:vMerge w:val="continue"/>
            <w:tcBorders>
              <w:tl2br w:val="nil"/>
              <w:tr2bl w:val="nil"/>
            </w:tcBorders>
            <w:vAlign w:val="center"/>
          </w:tcPr>
          <w:p>
            <w:pPr>
              <w:rPr>
                <w:rFonts w:ascii="Calibri" w:hAnsi="Calibri" w:eastAsia="宋体" w:cs="Times New Roman"/>
                <w:szCs w:val="22"/>
              </w:rPr>
            </w:pPr>
          </w:p>
        </w:tc>
        <w:tc>
          <w:tcPr>
            <w:tcW w:w="1739" w:type="dxa"/>
            <w:vMerge w:val="continue"/>
            <w:tcBorders>
              <w:tl2br w:val="nil"/>
              <w:tr2bl w:val="nil"/>
            </w:tcBorders>
            <w:vAlign w:val="center"/>
          </w:tcPr>
          <w:p>
            <w:pPr>
              <w:rPr>
                <w:rFonts w:ascii="Calibri" w:hAnsi="Calibri" w:eastAsia="宋体" w:cs="Times New Roman"/>
                <w:szCs w:val="22"/>
              </w:rPr>
            </w:pPr>
          </w:p>
        </w:tc>
        <w:tc>
          <w:tcPr>
            <w:tcW w:w="2268"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职业技能等级认定设备安全操作规程</w:t>
            </w:r>
          </w:p>
        </w:tc>
        <w:tc>
          <w:tcPr>
            <w:tcW w:w="2835"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查阅文件</w:t>
            </w:r>
          </w:p>
        </w:tc>
        <w:tc>
          <w:tcPr>
            <w:tcW w:w="567" w:type="dxa"/>
            <w:tcBorders>
              <w:tl2br w:val="nil"/>
              <w:tr2bl w:val="nil"/>
            </w:tcBorders>
            <w:vAlign w:val="center"/>
          </w:tcPr>
          <w:p>
            <w:pPr>
              <w:jc w:val="center"/>
              <w:rPr>
                <w:rFonts w:ascii="FangSong_GB2312" w:hAnsi="Calibri" w:eastAsia="FangSong_GB2312" w:cs="FangSong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1395" w:type="dxa"/>
            <w:vMerge w:val="continue"/>
            <w:tcBorders>
              <w:tl2br w:val="nil"/>
              <w:tr2bl w:val="nil"/>
            </w:tcBorders>
            <w:vAlign w:val="center"/>
          </w:tcPr>
          <w:p>
            <w:pPr>
              <w:rPr>
                <w:rFonts w:ascii="Calibri" w:hAnsi="Calibri" w:eastAsia="宋体" w:cs="Times New Roman"/>
                <w:szCs w:val="22"/>
              </w:rPr>
            </w:pPr>
          </w:p>
        </w:tc>
        <w:tc>
          <w:tcPr>
            <w:tcW w:w="1739" w:type="dxa"/>
            <w:vMerge w:val="continue"/>
            <w:tcBorders>
              <w:tl2br w:val="nil"/>
              <w:tr2bl w:val="nil"/>
            </w:tcBorders>
            <w:vAlign w:val="center"/>
          </w:tcPr>
          <w:p>
            <w:pPr>
              <w:rPr>
                <w:rFonts w:ascii="Calibri" w:hAnsi="Calibri" w:eastAsia="宋体" w:cs="Times New Roman"/>
                <w:szCs w:val="22"/>
              </w:rPr>
            </w:pPr>
          </w:p>
        </w:tc>
        <w:tc>
          <w:tcPr>
            <w:tcW w:w="2268"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职业技能等级认定工作安全保卫制度</w:t>
            </w:r>
          </w:p>
        </w:tc>
        <w:tc>
          <w:tcPr>
            <w:tcW w:w="2835"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查阅文件</w:t>
            </w:r>
          </w:p>
        </w:tc>
        <w:tc>
          <w:tcPr>
            <w:tcW w:w="567" w:type="dxa"/>
            <w:tcBorders>
              <w:tl2br w:val="nil"/>
              <w:tr2bl w:val="nil"/>
            </w:tcBorders>
            <w:vAlign w:val="center"/>
          </w:tcPr>
          <w:p>
            <w:pPr>
              <w:jc w:val="center"/>
              <w:rPr>
                <w:rFonts w:ascii="FangSong_GB2312" w:hAnsi="Calibri" w:eastAsia="FangSong_GB2312" w:cs="FangSong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690" w:hRule="atLeast"/>
          <w:jc w:val="center"/>
        </w:trPr>
        <w:tc>
          <w:tcPr>
            <w:tcW w:w="1395" w:type="dxa"/>
            <w:vMerge w:val="continue"/>
            <w:tcBorders>
              <w:tl2br w:val="nil"/>
              <w:tr2bl w:val="nil"/>
            </w:tcBorders>
            <w:vAlign w:val="center"/>
          </w:tcPr>
          <w:p>
            <w:pPr>
              <w:rPr>
                <w:rFonts w:ascii="Calibri" w:hAnsi="Calibri" w:eastAsia="宋体" w:cs="Times New Roman"/>
                <w:szCs w:val="22"/>
              </w:rPr>
            </w:pPr>
          </w:p>
        </w:tc>
        <w:tc>
          <w:tcPr>
            <w:tcW w:w="1739" w:type="dxa"/>
            <w:vMerge w:val="continue"/>
            <w:tcBorders>
              <w:tl2br w:val="nil"/>
              <w:tr2bl w:val="nil"/>
            </w:tcBorders>
            <w:vAlign w:val="center"/>
          </w:tcPr>
          <w:p>
            <w:pPr>
              <w:rPr>
                <w:rFonts w:ascii="Calibri" w:hAnsi="Calibri" w:eastAsia="宋体" w:cs="Times New Roman"/>
                <w:szCs w:val="22"/>
              </w:rPr>
            </w:pPr>
          </w:p>
        </w:tc>
        <w:tc>
          <w:tcPr>
            <w:tcW w:w="2268"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职业技能等级认定工作场所重大问题或突发严重事件的应急处理预案</w:t>
            </w:r>
          </w:p>
        </w:tc>
        <w:tc>
          <w:tcPr>
            <w:tcW w:w="2835"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查阅文件。询问负责人员，发现问题不得分。</w:t>
            </w:r>
          </w:p>
        </w:tc>
        <w:tc>
          <w:tcPr>
            <w:tcW w:w="567" w:type="dxa"/>
            <w:tcBorders>
              <w:tl2br w:val="nil"/>
              <w:tr2bl w:val="nil"/>
            </w:tcBorders>
            <w:vAlign w:val="center"/>
          </w:tcPr>
          <w:p>
            <w:pPr>
              <w:jc w:val="center"/>
              <w:rPr>
                <w:rFonts w:ascii="FangSong_GB2312" w:hAnsi="Calibri" w:eastAsia="FangSong_GB2312" w:cs="FangSong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1395" w:type="dxa"/>
            <w:vMerge w:val="continue"/>
            <w:tcBorders>
              <w:tl2br w:val="nil"/>
              <w:tr2bl w:val="nil"/>
            </w:tcBorders>
            <w:vAlign w:val="center"/>
          </w:tcPr>
          <w:p>
            <w:pPr>
              <w:rPr>
                <w:rFonts w:ascii="Calibri" w:hAnsi="Calibri" w:eastAsia="宋体" w:cs="Times New Roman"/>
                <w:szCs w:val="22"/>
              </w:rPr>
            </w:pPr>
          </w:p>
        </w:tc>
        <w:tc>
          <w:tcPr>
            <w:tcW w:w="1739" w:type="dxa"/>
            <w:vMerge w:val="restart"/>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人员管理制度办法情况</w:t>
            </w:r>
          </w:p>
        </w:tc>
        <w:tc>
          <w:tcPr>
            <w:tcW w:w="2268"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职业技能等级认定考评人员管理制度</w:t>
            </w:r>
          </w:p>
        </w:tc>
        <w:tc>
          <w:tcPr>
            <w:tcW w:w="2835"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查阅文件</w:t>
            </w:r>
          </w:p>
        </w:tc>
        <w:tc>
          <w:tcPr>
            <w:tcW w:w="567" w:type="dxa"/>
            <w:tcBorders>
              <w:tl2br w:val="nil"/>
              <w:tr2bl w:val="nil"/>
            </w:tcBorders>
            <w:vAlign w:val="center"/>
          </w:tcPr>
          <w:p>
            <w:pPr>
              <w:jc w:val="center"/>
              <w:rPr>
                <w:rFonts w:ascii="FangSong_GB2312" w:hAnsi="Calibri" w:eastAsia="FangSong_GB2312" w:cs="FangSong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1395" w:type="dxa"/>
            <w:vMerge w:val="continue"/>
            <w:tcBorders>
              <w:tl2br w:val="nil"/>
              <w:tr2bl w:val="nil"/>
            </w:tcBorders>
            <w:vAlign w:val="center"/>
          </w:tcPr>
          <w:p>
            <w:pPr>
              <w:rPr>
                <w:rFonts w:ascii="Calibri" w:hAnsi="Calibri" w:eastAsia="宋体" w:cs="Times New Roman"/>
                <w:szCs w:val="22"/>
              </w:rPr>
            </w:pPr>
          </w:p>
        </w:tc>
        <w:tc>
          <w:tcPr>
            <w:tcW w:w="1739" w:type="dxa"/>
            <w:vMerge w:val="continue"/>
            <w:tcBorders>
              <w:tl2br w:val="nil"/>
              <w:tr2bl w:val="nil"/>
            </w:tcBorders>
            <w:vAlign w:val="center"/>
          </w:tcPr>
          <w:p>
            <w:pPr>
              <w:rPr>
                <w:rFonts w:ascii="Calibri" w:hAnsi="Calibri" w:eastAsia="宋体" w:cs="Times New Roman"/>
                <w:szCs w:val="22"/>
              </w:rPr>
            </w:pPr>
          </w:p>
        </w:tc>
        <w:tc>
          <w:tcPr>
            <w:tcW w:w="2268"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职业技能等级认定监考人员管理制度</w:t>
            </w:r>
          </w:p>
        </w:tc>
        <w:tc>
          <w:tcPr>
            <w:tcW w:w="2835"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查阅文件</w:t>
            </w:r>
          </w:p>
        </w:tc>
        <w:tc>
          <w:tcPr>
            <w:tcW w:w="567" w:type="dxa"/>
            <w:tcBorders>
              <w:tl2br w:val="nil"/>
              <w:tr2bl w:val="nil"/>
            </w:tcBorders>
            <w:vAlign w:val="center"/>
          </w:tcPr>
          <w:p>
            <w:pPr>
              <w:jc w:val="center"/>
              <w:rPr>
                <w:rFonts w:ascii="FangSong_GB2312" w:hAnsi="Calibri" w:eastAsia="FangSong_GB2312" w:cs="FangSong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1395" w:type="dxa"/>
            <w:vMerge w:val="continue"/>
            <w:tcBorders>
              <w:tl2br w:val="nil"/>
              <w:tr2bl w:val="nil"/>
            </w:tcBorders>
            <w:vAlign w:val="center"/>
          </w:tcPr>
          <w:p>
            <w:pPr>
              <w:rPr>
                <w:rFonts w:ascii="Calibri" w:hAnsi="Calibri" w:eastAsia="宋体" w:cs="Times New Roman"/>
                <w:szCs w:val="22"/>
              </w:rPr>
            </w:pPr>
          </w:p>
        </w:tc>
        <w:tc>
          <w:tcPr>
            <w:tcW w:w="1739" w:type="dxa"/>
            <w:vMerge w:val="continue"/>
            <w:tcBorders>
              <w:tl2br w:val="nil"/>
              <w:tr2bl w:val="nil"/>
            </w:tcBorders>
            <w:vAlign w:val="center"/>
          </w:tcPr>
          <w:p>
            <w:pPr>
              <w:rPr>
                <w:rFonts w:ascii="Calibri" w:hAnsi="Calibri" w:eastAsia="宋体" w:cs="Times New Roman"/>
                <w:szCs w:val="22"/>
              </w:rPr>
            </w:pPr>
          </w:p>
        </w:tc>
        <w:tc>
          <w:tcPr>
            <w:tcW w:w="2268" w:type="dxa"/>
            <w:tcBorders>
              <w:tl2br w:val="nil"/>
              <w:tr2bl w:val="nil"/>
            </w:tcBorders>
            <w:vAlign w:val="center"/>
          </w:tcPr>
          <w:p>
            <w:pPr>
              <w:widowControl/>
              <w:jc w:val="center"/>
              <w:textAlignment w:val="center"/>
              <w:rPr>
                <w:rFonts w:ascii="FangSong_GB2312" w:hAnsi="Calibri" w:eastAsia="FangSong_GB2312" w:cs="FangSong_GB2312"/>
                <w:color w:val="000000"/>
                <w:kern w:val="0"/>
                <w:szCs w:val="21"/>
              </w:rPr>
            </w:pPr>
            <w:r>
              <w:rPr>
                <w:rFonts w:hint="eastAsia" w:ascii="FangSong_GB2312" w:hAnsi="Calibri" w:eastAsia="FangSong_GB2312" w:cs="FangSong_GB2312"/>
                <w:color w:val="000000"/>
                <w:kern w:val="0"/>
                <w:szCs w:val="21"/>
              </w:rPr>
              <w:t>职业技能等级认定内部督导人员管理制度</w:t>
            </w:r>
          </w:p>
        </w:tc>
        <w:tc>
          <w:tcPr>
            <w:tcW w:w="2835" w:type="dxa"/>
            <w:tcBorders>
              <w:tl2br w:val="nil"/>
              <w:tr2bl w:val="nil"/>
            </w:tcBorders>
            <w:vAlign w:val="center"/>
          </w:tcPr>
          <w:p>
            <w:pPr>
              <w:widowControl/>
              <w:jc w:val="center"/>
              <w:textAlignment w:val="center"/>
              <w:rPr>
                <w:rFonts w:ascii="FangSong_GB2312" w:hAnsi="Calibri" w:eastAsia="FangSong_GB2312" w:cs="FangSong_GB2312"/>
                <w:color w:val="000000"/>
                <w:kern w:val="0"/>
                <w:szCs w:val="21"/>
              </w:rPr>
            </w:pPr>
            <w:r>
              <w:rPr>
                <w:rFonts w:hint="eastAsia" w:ascii="FangSong_GB2312" w:hAnsi="Calibri" w:eastAsia="FangSong_GB2312" w:cs="FangSong_GB2312"/>
                <w:color w:val="000000"/>
                <w:kern w:val="0"/>
                <w:szCs w:val="21"/>
              </w:rPr>
              <w:t>查阅文件</w:t>
            </w:r>
          </w:p>
        </w:tc>
        <w:tc>
          <w:tcPr>
            <w:tcW w:w="567" w:type="dxa"/>
            <w:tcBorders>
              <w:tl2br w:val="nil"/>
              <w:tr2bl w:val="nil"/>
            </w:tcBorders>
            <w:vAlign w:val="center"/>
          </w:tcPr>
          <w:p>
            <w:pPr>
              <w:jc w:val="center"/>
              <w:rPr>
                <w:rFonts w:ascii="FangSong_GB2312" w:hAnsi="Calibri" w:eastAsia="FangSong_GB2312" w:cs="FangSong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1395" w:type="dxa"/>
            <w:vMerge w:val="continue"/>
            <w:tcBorders>
              <w:tl2br w:val="nil"/>
              <w:tr2bl w:val="nil"/>
            </w:tcBorders>
            <w:vAlign w:val="center"/>
          </w:tcPr>
          <w:p>
            <w:pPr>
              <w:rPr>
                <w:rFonts w:ascii="Calibri" w:hAnsi="Calibri" w:eastAsia="宋体" w:cs="Times New Roman"/>
                <w:szCs w:val="22"/>
              </w:rPr>
            </w:pPr>
          </w:p>
        </w:tc>
        <w:tc>
          <w:tcPr>
            <w:tcW w:w="1739" w:type="dxa"/>
            <w:vMerge w:val="continue"/>
            <w:tcBorders>
              <w:tl2br w:val="nil"/>
              <w:tr2bl w:val="nil"/>
            </w:tcBorders>
            <w:vAlign w:val="center"/>
          </w:tcPr>
          <w:p>
            <w:pPr>
              <w:rPr>
                <w:rFonts w:ascii="Calibri" w:hAnsi="Calibri" w:eastAsia="宋体" w:cs="Times New Roman"/>
                <w:szCs w:val="22"/>
              </w:rPr>
            </w:pPr>
          </w:p>
        </w:tc>
        <w:tc>
          <w:tcPr>
            <w:tcW w:w="2268"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职业技能等级认定考务工作人员管理制度</w:t>
            </w:r>
          </w:p>
        </w:tc>
        <w:tc>
          <w:tcPr>
            <w:tcW w:w="2835"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查阅文件</w:t>
            </w:r>
          </w:p>
        </w:tc>
        <w:tc>
          <w:tcPr>
            <w:tcW w:w="567" w:type="dxa"/>
            <w:tcBorders>
              <w:tl2br w:val="nil"/>
              <w:tr2bl w:val="nil"/>
            </w:tcBorders>
            <w:vAlign w:val="center"/>
          </w:tcPr>
          <w:p>
            <w:pPr>
              <w:jc w:val="center"/>
              <w:rPr>
                <w:rFonts w:ascii="FangSong_GB2312" w:hAnsi="Calibri" w:eastAsia="FangSong_GB2312" w:cs="FangSong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747" w:hRule="atLeast"/>
          <w:jc w:val="center"/>
        </w:trPr>
        <w:tc>
          <w:tcPr>
            <w:tcW w:w="1395" w:type="dxa"/>
            <w:vMerge w:val="continue"/>
            <w:tcBorders>
              <w:tl2br w:val="nil"/>
              <w:tr2bl w:val="nil"/>
            </w:tcBorders>
            <w:vAlign w:val="center"/>
          </w:tcPr>
          <w:p>
            <w:pPr>
              <w:rPr>
                <w:rFonts w:ascii="Calibri" w:hAnsi="Calibri" w:eastAsia="宋体" w:cs="Times New Roman"/>
                <w:szCs w:val="22"/>
              </w:rPr>
            </w:pPr>
          </w:p>
        </w:tc>
        <w:tc>
          <w:tcPr>
            <w:tcW w:w="1739" w:type="dxa"/>
            <w:vMerge w:val="continue"/>
            <w:tcBorders>
              <w:tl2br w:val="nil"/>
              <w:tr2bl w:val="nil"/>
            </w:tcBorders>
            <w:vAlign w:val="center"/>
          </w:tcPr>
          <w:p>
            <w:pPr>
              <w:rPr>
                <w:rFonts w:ascii="Calibri" w:hAnsi="Calibri" w:eastAsia="宋体" w:cs="Times New Roman"/>
                <w:szCs w:val="22"/>
              </w:rPr>
            </w:pPr>
          </w:p>
        </w:tc>
        <w:tc>
          <w:tcPr>
            <w:tcW w:w="2268"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职业技能等级认定考生守则</w:t>
            </w:r>
          </w:p>
        </w:tc>
        <w:tc>
          <w:tcPr>
            <w:tcW w:w="2835"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查阅文件</w:t>
            </w:r>
          </w:p>
        </w:tc>
        <w:tc>
          <w:tcPr>
            <w:tcW w:w="567" w:type="dxa"/>
            <w:tcBorders>
              <w:tl2br w:val="nil"/>
              <w:tr2bl w:val="nil"/>
            </w:tcBorders>
            <w:vAlign w:val="center"/>
          </w:tcPr>
          <w:p>
            <w:pPr>
              <w:jc w:val="center"/>
              <w:rPr>
                <w:rFonts w:ascii="FangSong_GB2312" w:hAnsi="Calibri" w:eastAsia="FangSong_GB2312" w:cs="FangSong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312" w:hRule="atLeast"/>
          <w:jc w:val="center"/>
        </w:trPr>
        <w:tc>
          <w:tcPr>
            <w:tcW w:w="1395" w:type="dxa"/>
            <w:vMerge w:val="restart"/>
            <w:tcBorders>
              <w:tl2br w:val="nil"/>
              <w:tr2bl w:val="nil"/>
            </w:tcBorders>
            <w:vAlign w:val="center"/>
          </w:tcPr>
          <w:p>
            <w:pPr>
              <w:widowControl/>
              <w:jc w:val="center"/>
              <w:textAlignment w:val="center"/>
              <w:rPr>
                <w:rFonts w:ascii="FangSong_GB2312" w:hAnsi="Calibri" w:eastAsia="FangSong_GB2312" w:cs="FangSong_GB2312"/>
                <w:color w:val="000000"/>
                <w:kern w:val="0"/>
                <w:szCs w:val="21"/>
              </w:rPr>
            </w:pPr>
            <w:r>
              <w:rPr>
                <w:rFonts w:hint="eastAsia" w:ascii="FangSong_GB2312" w:hAnsi="Calibri" w:eastAsia="FangSong_GB2312" w:cs="FangSong_GB2312"/>
                <w:color w:val="000000"/>
                <w:kern w:val="0"/>
                <w:szCs w:val="21"/>
              </w:rPr>
              <w:t>职业技能等级认定实施条件</w:t>
            </w:r>
          </w:p>
          <w:p>
            <w:pPr>
              <w:widowControl/>
              <w:jc w:val="center"/>
              <w:textAlignment w:val="center"/>
              <w:rPr>
                <w:rFonts w:ascii="FangSong_GB2312" w:hAnsi="Calibri" w:eastAsia="FangSong_GB2312" w:cs="FangSong_GB2312"/>
                <w:color w:val="000000"/>
                <w:kern w:val="0"/>
                <w:szCs w:val="21"/>
              </w:rPr>
            </w:pPr>
            <w:r>
              <w:rPr>
                <w:rFonts w:hint="eastAsia" w:ascii="FangSong_GB2312" w:hAnsi="Calibri" w:eastAsia="FangSong_GB2312" w:cs="FangSong_GB2312"/>
                <w:color w:val="000000"/>
                <w:kern w:val="0"/>
                <w:szCs w:val="21"/>
              </w:rPr>
              <w:t>40分</w:t>
            </w:r>
          </w:p>
        </w:tc>
        <w:tc>
          <w:tcPr>
            <w:tcW w:w="1739" w:type="dxa"/>
            <w:vMerge w:val="restart"/>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设备实施条件</w:t>
            </w:r>
          </w:p>
        </w:tc>
        <w:tc>
          <w:tcPr>
            <w:tcW w:w="2268" w:type="dxa"/>
            <w:vMerge w:val="restart"/>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具有与评价职业（工种）等级相适应的场地、设备设施仪器仪表等硬件设施和视频监控设备。</w:t>
            </w:r>
          </w:p>
        </w:tc>
        <w:tc>
          <w:tcPr>
            <w:tcW w:w="2835" w:type="dxa"/>
            <w:vMerge w:val="restart"/>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现场查看</w:t>
            </w:r>
          </w:p>
        </w:tc>
        <w:tc>
          <w:tcPr>
            <w:tcW w:w="567" w:type="dxa"/>
            <w:vMerge w:val="restart"/>
            <w:tcBorders>
              <w:tl2br w:val="nil"/>
              <w:tr2bl w:val="nil"/>
            </w:tcBorders>
            <w:vAlign w:val="center"/>
          </w:tcPr>
          <w:p>
            <w:pPr>
              <w:jc w:val="center"/>
              <w:rPr>
                <w:rFonts w:ascii="FangSong_GB2312" w:hAnsi="Calibri" w:eastAsia="FangSong_GB2312" w:cs="FangSong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312" w:hRule="atLeast"/>
          <w:jc w:val="center"/>
        </w:trPr>
        <w:tc>
          <w:tcPr>
            <w:tcW w:w="1395" w:type="dxa"/>
            <w:vMerge w:val="continue"/>
            <w:tcBorders>
              <w:tl2br w:val="nil"/>
              <w:tr2bl w:val="nil"/>
            </w:tcBorders>
            <w:vAlign w:val="center"/>
          </w:tcPr>
          <w:p>
            <w:pPr>
              <w:rPr>
                <w:rFonts w:ascii="Calibri" w:hAnsi="Calibri" w:eastAsia="宋体" w:cs="Times New Roman"/>
                <w:szCs w:val="22"/>
              </w:rPr>
            </w:pPr>
          </w:p>
        </w:tc>
        <w:tc>
          <w:tcPr>
            <w:tcW w:w="1739" w:type="dxa"/>
            <w:vMerge w:val="continue"/>
            <w:tcBorders>
              <w:tl2br w:val="nil"/>
              <w:tr2bl w:val="nil"/>
            </w:tcBorders>
            <w:vAlign w:val="center"/>
          </w:tcPr>
          <w:p>
            <w:pPr>
              <w:rPr>
                <w:rFonts w:ascii="Calibri" w:hAnsi="Calibri" w:eastAsia="宋体" w:cs="Times New Roman"/>
                <w:szCs w:val="22"/>
              </w:rPr>
            </w:pPr>
          </w:p>
        </w:tc>
        <w:tc>
          <w:tcPr>
            <w:tcW w:w="2268" w:type="dxa"/>
            <w:vMerge w:val="continue"/>
            <w:tcBorders>
              <w:tl2br w:val="nil"/>
              <w:tr2bl w:val="nil"/>
            </w:tcBorders>
            <w:vAlign w:val="center"/>
          </w:tcPr>
          <w:p>
            <w:pPr>
              <w:rPr>
                <w:rFonts w:ascii="Calibri" w:hAnsi="Calibri" w:eastAsia="宋体" w:cs="Times New Roman"/>
                <w:szCs w:val="22"/>
              </w:rPr>
            </w:pPr>
          </w:p>
        </w:tc>
        <w:tc>
          <w:tcPr>
            <w:tcW w:w="2835" w:type="dxa"/>
            <w:vMerge w:val="continue"/>
            <w:tcBorders>
              <w:tl2br w:val="nil"/>
              <w:tr2bl w:val="nil"/>
            </w:tcBorders>
            <w:vAlign w:val="center"/>
          </w:tcPr>
          <w:p>
            <w:pPr>
              <w:rPr>
                <w:rFonts w:ascii="Calibri" w:hAnsi="Calibri" w:eastAsia="宋体" w:cs="Times New Roman"/>
                <w:szCs w:val="22"/>
              </w:rPr>
            </w:pPr>
          </w:p>
        </w:tc>
        <w:tc>
          <w:tcPr>
            <w:tcW w:w="567" w:type="dxa"/>
            <w:vMerge w:val="continue"/>
            <w:tcBorders>
              <w:tl2br w:val="nil"/>
              <w:tr2bl w:val="nil"/>
            </w:tcBorders>
            <w:vAlign w:val="center"/>
          </w:tcPr>
          <w:p>
            <w:pPr>
              <w:rPr>
                <w:rFonts w:ascii="Calibri" w:hAnsi="Calibri" w:eastAsia="宋体" w:cs="Times New Roman"/>
                <w:szCs w:val="22"/>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681" w:hRule="atLeast"/>
          <w:jc w:val="center"/>
        </w:trPr>
        <w:tc>
          <w:tcPr>
            <w:tcW w:w="1395" w:type="dxa"/>
            <w:vMerge w:val="continue"/>
            <w:tcBorders>
              <w:tl2br w:val="nil"/>
              <w:tr2bl w:val="nil"/>
            </w:tcBorders>
            <w:vAlign w:val="center"/>
          </w:tcPr>
          <w:p>
            <w:pPr>
              <w:rPr>
                <w:rFonts w:ascii="Calibri" w:hAnsi="Calibri" w:eastAsia="宋体" w:cs="Times New Roman"/>
                <w:szCs w:val="22"/>
              </w:rPr>
            </w:pPr>
          </w:p>
        </w:tc>
        <w:tc>
          <w:tcPr>
            <w:tcW w:w="1739" w:type="dxa"/>
            <w:vMerge w:val="continue"/>
            <w:tcBorders>
              <w:tl2br w:val="nil"/>
              <w:tr2bl w:val="nil"/>
            </w:tcBorders>
            <w:vAlign w:val="center"/>
          </w:tcPr>
          <w:p>
            <w:pPr>
              <w:rPr>
                <w:rFonts w:ascii="Calibri" w:hAnsi="Calibri" w:eastAsia="宋体" w:cs="Times New Roman"/>
                <w:szCs w:val="22"/>
              </w:rPr>
            </w:pPr>
          </w:p>
        </w:tc>
        <w:tc>
          <w:tcPr>
            <w:tcW w:w="2268" w:type="dxa"/>
            <w:vMerge w:val="continue"/>
            <w:tcBorders>
              <w:tl2br w:val="nil"/>
              <w:tr2bl w:val="nil"/>
            </w:tcBorders>
            <w:vAlign w:val="center"/>
          </w:tcPr>
          <w:p>
            <w:pPr>
              <w:rPr>
                <w:rFonts w:ascii="Calibri" w:hAnsi="Calibri" w:eastAsia="宋体" w:cs="Times New Roman"/>
                <w:szCs w:val="22"/>
              </w:rPr>
            </w:pPr>
          </w:p>
        </w:tc>
        <w:tc>
          <w:tcPr>
            <w:tcW w:w="2835" w:type="dxa"/>
            <w:vMerge w:val="continue"/>
            <w:tcBorders>
              <w:tl2br w:val="nil"/>
              <w:tr2bl w:val="nil"/>
            </w:tcBorders>
            <w:vAlign w:val="center"/>
          </w:tcPr>
          <w:p>
            <w:pPr>
              <w:rPr>
                <w:rFonts w:ascii="Calibri" w:hAnsi="Calibri" w:eastAsia="宋体" w:cs="Times New Roman"/>
                <w:szCs w:val="22"/>
              </w:rPr>
            </w:pPr>
          </w:p>
        </w:tc>
        <w:tc>
          <w:tcPr>
            <w:tcW w:w="567" w:type="dxa"/>
            <w:vMerge w:val="continue"/>
            <w:tcBorders>
              <w:tl2br w:val="nil"/>
              <w:tr2bl w:val="nil"/>
            </w:tcBorders>
            <w:vAlign w:val="center"/>
          </w:tcPr>
          <w:p>
            <w:pPr>
              <w:rPr>
                <w:rFonts w:ascii="Calibri" w:hAnsi="Calibri" w:eastAsia="宋体" w:cs="Times New Roman"/>
                <w:szCs w:val="22"/>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1425" w:hRule="atLeast"/>
          <w:jc w:val="center"/>
        </w:trPr>
        <w:tc>
          <w:tcPr>
            <w:tcW w:w="1395" w:type="dxa"/>
            <w:vMerge w:val="continue"/>
            <w:tcBorders>
              <w:tl2br w:val="nil"/>
              <w:tr2bl w:val="nil"/>
            </w:tcBorders>
            <w:vAlign w:val="center"/>
          </w:tcPr>
          <w:p>
            <w:pPr>
              <w:rPr>
                <w:rFonts w:ascii="Calibri" w:hAnsi="Calibri" w:eastAsia="宋体" w:cs="Times New Roman"/>
                <w:szCs w:val="22"/>
              </w:rPr>
            </w:pPr>
          </w:p>
        </w:tc>
        <w:tc>
          <w:tcPr>
            <w:tcW w:w="1739"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评价标准、题库、培训教材</w:t>
            </w:r>
          </w:p>
        </w:tc>
        <w:tc>
          <w:tcPr>
            <w:tcW w:w="2268"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有相应的国家职业技能标准或职业技能等级评价规范，有规范编制的评价题库及相应的培训教材</w:t>
            </w:r>
          </w:p>
        </w:tc>
        <w:tc>
          <w:tcPr>
            <w:tcW w:w="2835"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查阅资料</w:t>
            </w:r>
          </w:p>
        </w:tc>
        <w:tc>
          <w:tcPr>
            <w:tcW w:w="567" w:type="dxa"/>
            <w:tcBorders>
              <w:tl2br w:val="nil"/>
              <w:tr2bl w:val="nil"/>
            </w:tcBorders>
            <w:vAlign w:val="center"/>
          </w:tcPr>
          <w:p>
            <w:pPr>
              <w:jc w:val="center"/>
              <w:rPr>
                <w:rFonts w:ascii="FangSong_GB2312" w:hAnsi="Calibri" w:eastAsia="FangSong_GB2312" w:cs="FangSong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600" w:hRule="atLeast"/>
          <w:jc w:val="center"/>
        </w:trPr>
        <w:tc>
          <w:tcPr>
            <w:tcW w:w="1395" w:type="dxa"/>
            <w:vMerge w:val="restart"/>
            <w:tcBorders>
              <w:tl2br w:val="nil"/>
              <w:tr2bl w:val="nil"/>
            </w:tcBorders>
            <w:vAlign w:val="center"/>
          </w:tcPr>
          <w:p>
            <w:pPr>
              <w:widowControl/>
              <w:jc w:val="center"/>
              <w:textAlignment w:val="center"/>
              <w:rPr>
                <w:rFonts w:ascii="FangSong_GB2312" w:hAnsi="Calibri" w:eastAsia="FangSong_GB2312" w:cs="FangSong_GB2312"/>
                <w:color w:val="000000"/>
                <w:kern w:val="0"/>
                <w:szCs w:val="21"/>
              </w:rPr>
            </w:pPr>
            <w:r>
              <w:rPr>
                <w:rFonts w:hint="eastAsia" w:ascii="FangSong_GB2312" w:hAnsi="Calibri" w:eastAsia="FangSong_GB2312" w:cs="FangSong_GB2312"/>
                <w:color w:val="000000"/>
                <w:kern w:val="0"/>
                <w:szCs w:val="21"/>
              </w:rPr>
              <w:t>经费保障</w:t>
            </w:r>
          </w:p>
          <w:p>
            <w:pPr>
              <w:widowControl/>
              <w:jc w:val="center"/>
              <w:textAlignment w:val="center"/>
              <w:rPr>
                <w:rFonts w:ascii="FangSong_GB2312" w:hAnsi="Calibri" w:eastAsia="FangSong_GB2312" w:cs="FangSong_GB2312"/>
                <w:color w:val="000000"/>
                <w:kern w:val="0"/>
                <w:szCs w:val="21"/>
              </w:rPr>
            </w:pPr>
            <w:r>
              <w:rPr>
                <w:rFonts w:hint="eastAsia" w:ascii="FangSong_GB2312" w:hAnsi="Calibri" w:eastAsia="FangSong_GB2312" w:cs="FangSong_GB2312"/>
                <w:color w:val="000000"/>
                <w:kern w:val="0"/>
                <w:szCs w:val="21"/>
              </w:rPr>
              <w:t>10分</w:t>
            </w:r>
          </w:p>
        </w:tc>
        <w:tc>
          <w:tcPr>
            <w:tcW w:w="1739"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职工教育经费</w:t>
            </w:r>
          </w:p>
        </w:tc>
        <w:tc>
          <w:tcPr>
            <w:tcW w:w="2268"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能够足额提取并合理使用职工教育经费</w:t>
            </w:r>
          </w:p>
        </w:tc>
        <w:tc>
          <w:tcPr>
            <w:tcW w:w="2835"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查阅文件。询问负责人员，发现问题不得分。</w:t>
            </w:r>
          </w:p>
        </w:tc>
        <w:tc>
          <w:tcPr>
            <w:tcW w:w="567" w:type="dxa"/>
            <w:tcBorders>
              <w:tl2br w:val="nil"/>
              <w:tr2bl w:val="nil"/>
            </w:tcBorders>
            <w:vAlign w:val="center"/>
          </w:tcPr>
          <w:p>
            <w:pPr>
              <w:jc w:val="center"/>
              <w:rPr>
                <w:rFonts w:ascii="FangSong_GB2312" w:hAnsi="Calibri" w:eastAsia="FangSong_GB2312" w:cs="FangSong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1395" w:type="dxa"/>
            <w:vMerge w:val="continue"/>
            <w:tcBorders>
              <w:tl2br w:val="nil"/>
              <w:tr2bl w:val="nil"/>
            </w:tcBorders>
            <w:vAlign w:val="center"/>
          </w:tcPr>
          <w:p>
            <w:pPr>
              <w:rPr>
                <w:rFonts w:ascii="Calibri" w:hAnsi="Calibri" w:eastAsia="宋体" w:cs="Times New Roman"/>
                <w:szCs w:val="22"/>
              </w:rPr>
            </w:pPr>
          </w:p>
        </w:tc>
        <w:tc>
          <w:tcPr>
            <w:tcW w:w="1739"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职业技能等级认定专项经费</w:t>
            </w:r>
          </w:p>
        </w:tc>
        <w:tc>
          <w:tcPr>
            <w:tcW w:w="2268"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能够为职业技能等级认定工作提供稳定的经费保障</w:t>
            </w:r>
          </w:p>
        </w:tc>
        <w:tc>
          <w:tcPr>
            <w:tcW w:w="2835" w:type="dxa"/>
            <w:tcBorders>
              <w:tl2br w:val="nil"/>
              <w:tr2bl w:val="nil"/>
            </w:tcBorders>
            <w:vAlign w:val="center"/>
          </w:tcPr>
          <w:p>
            <w:pPr>
              <w:widowControl/>
              <w:jc w:val="center"/>
              <w:textAlignment w:val="center"/>
              <w:rPr>
                <w:rFonts w:ascii="FangSong_GB2312" w:hAnsi="Calibri" w:eastAsia="FangSong_GB2312" w:cs="FangSong_GB2312"/>
                <w:color w:val="000000"/>
                <w:szCs w:val="21"/>
              </w:rPr>
            </w:pPr>
            <w:r>
              <w:rPr>
                <w:rFonts w:hint="eastAsia" w:ascii="FangSong_GB2312" w:hAnsi="Calibri" w:eastAsia="FangSong_GB2312" w:cs="FangSong_GB2312"/>
                <w:color w:val="000000"/>
                <w:kern w:val="0"/>
                <w:szCs w:val="21"/>
              </w:rPr>
              <w:t>查阅文件。询问负责人员，发现问题不得分。</w:t>
            </w:r>
          </w:p>
        </w:tc>
        <w:tc>
          <w:tcPr>
            <w:tcW w:w="567" w:type="dxa"/>
            <w:tcBorders>
              <w:tl2br w:val="nil"/>
              <w:tr2bl w:val="nil"/>
            </w:tcBorders>
            <w:vAlign w:val="center"/>
          </w:tcPr>
          <w:p>
            <w:pPr>
              <w:jc w:val="center"/>
              <w:rPr>
                <w:rFonts w:ascii="FangSong_GB2312" w:hAnsi="Calibri" w:eastAsia="FangSong_GB2312" w:cs="FangSong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465" w:hRule="atLeast"/>
          <w:jc w:val="center"/>
        </w:trPr>
        <w:tc>
          <w:tcPr>
            <w:tcW w:w="8237" w:type="dxa"/>
            <w:gridSpan w:val="4"/>
            <w:tcBorders>
              <w:tl2br w:val="nil"/>
              <w:tr2bl w:val="nil"/>
            </w:tcBorders>
            <w:vAlign w:val="center"/>
          </w:tcPr>
          <w:p>
            <w:pPr>
              <w:widowControl/>
              <w:jc w:val="center"/>
              <w:textAlignment w:val="center"/>
              <w:rPr>
                <w:rFonts w:ascii="FangSong_GB2312" w:hAnsi="Calibri" w:eastAsia="FangSong_GB2312" w:cs="FangSong_GB2312"/>
                <w:color w:val="000000"/>
                <w:kern w:val="0"/>
                <w:szCs w:val="21"/>
              </w:rPr>
            </w:pPr>
            <w:r>
              <w:rPr>
                <w:rFonts w:hint="eastAsia" w:ascii="FangSong_GB2312" w:hAnsi="Calibri" w:eastAsia="FangSong_GB2312" w:cs="FangSong_GB2312"/>
                <w:color w:val="000000"/>
                <w:kern w:val="0"/>
                <w:szCs w:val="21"/>
              </w:rPr>
              <w:t>总分</w:t>
            </w:r>
          </w:p>
        </w:tc>
        <w:tc>
          <w:tcPr>
            <w:tcW w:w="567" w:type="dxa"/>
            <w:tcBorders>
              <w:tl2br w:val="nil"/>
              <w:tr2bl w:val="nil"/>
            </w:tcBorders>
            <w:vAlign w:val="center"/>
          </w:tcPr>
          <w:p>
            <w:pPr>
              <w:jc w:val="center"/>
              <w:rPr>
                <w:rFonts w:ascii="FangSong_GB2312" w:hAnsi="Calibri" w:eastAsia="FangSong_GB2312" w:cs="FangSong_GB2312"/>
                <w:color w:val="000000"/>
                <w:szCs w:val="21"/>
              </w:rPr>
            </w:pPr>
          </w:p>
        </w:tc>
      </w:tr>
    </w:tbl>
    <w:p>
      <w:pPr>
        <w:spacing w:line="440" w:lineRule="exact"/>
        <w:rPr>
          <w:rFonts w:ascii="FangSong_GB2312" w:hAnsi="Calibri" w:eastAsia="FangSong_GB2312" w:cs="FangSong_GB2312"/>
          <w:sz w:val="24"/>
          <w:szCs w:val="22"/>
        </w:rPr>
      </w:pPr>
      <w:r>
        <w:rPr>
          <w:rFonts w:hint="eastAsia" w:ascii="FangSong_GB2312" w:hAnsi="Calibri" w:eastAsia="FangSong_GB2312" w:cs="FangSong_GB2312"/>
          <w:sz w:val="24"/>
          <w:szCs w:val="24"/>
        </w:rPr>
        <w:t>注：备案机构应根据评估内容，逐项完善机构岗位设置、规章制度、职业技能等级认定实施条件和经费保障等内容。</w:t>
      </w:r>
    </w:p>
    <w:p>
      <w:pPr>
        <w:rPr>
          <w:rFonts w:hint="default"/>
          <w:lang w:val="en-US" w:eastAsia="zh-CN"/>
        </w:rPr>
      </w:pPr>
      <w:bookmarkStart w:id="0" w:name="_GoBack"/>
      <w:bookmarkEnd w:id="0"/>
    </w:p>
    <w:sectPr>
      <w:pgSz w:w="11906" w:h="16838"/>
      <w:pgMar w:top="1134" w:right="1701" w:bottom="1134" w:left="170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_GB2312"/>
    <w:panose1 w:val="02010609060101010101"/>
    <w:charset w:val="86"/>
    <w:family w:val="modern"/>
    <w:pitch w:val="default"/>
    <w:sig w:usb0="00000000" w:usb1="00000000"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CA1B41"/>
    <w:rsid w:val="13CA1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2020-06-18T07:42:00Z</dcterms:created>
  <dc:creator>鱼儿麻麻</dc:creator>
  <cp:lastModifiedBy>鱼儿麻麻</cp:lastModifiedBy>
  <dcterms:modified xsi:type="dcterms:W3CDTF">2020-06-18T07:45:07Z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